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0075" w:type="dxa"/>
        <w:jc w:val="left"/>
        <w:tblInd w:w="0" w:type="dxa"/>
        <w:tblCellMar>
          <w:top w:w="0" w:type="dxa"/>
          <w:left w:w="108" w:type="dxa"/>
          <w:bottom w:w="0" w:type="dxa"/>
          <w:right w:w="108" w:type="dxa"/>
        </w:tblCellMar>
        <w:tblLook w:val="04a0" w:noVBand="1" w:noHBand="0" w:lastColumn="0" w:firstColumn="1" w:lastRow="0" w:firstRow="1"/>
      </w:tblPr>
      <w:tblGrid>
        <w:gridCol w:w="1692"/>
        <w:gridCol w:w="6420"/>
        <w:gridCol w:w="1963"/>
      </w:tblGrid>
      <w:tr>
        <w:trPr/>
        <w:tc>
          <w:tcPr>
            <w:tcW w:w="10075" w:type="dxa"/>
            <w:gridSpan w:val="3"/>
            <w:tcBorders/>
            <w:shd w:fill="auto" w:val="clear"/>
            <w:tcMar>
              <w:left w:w="108" w:type="dxa"/>
            </w:tcMar>
          </w:tcPr>
          <w:p>
            <w:pPr>
              <w:pStyle w:val="Normal"/>
              <w:spacing w:lineRule="auto" w:line="240" w:before="0" w:after="0"/>
              <w:rPr>
                <w:sz w:val="28"/>
                <w:szCs w:val="28"/>
              </w:rPr>
            </w:pPr>
            <w:r>
              <w:rPr>
                <w:sz w:val="28"/>
                <w:szCs w:val="28"/>
              </w:rPr>
              <w:t>Minutes of Meeting on: 9 June 2020</w:t>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Location:</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Online via Webex</w:t>
            </w:r>
          </w:p>
        </w:tc>
        <w:tc>
          <w:tcPr>
            <w:tcW w:w="1963" w:type="dxa"/>
            <w:tcBorders/>
            <w:shd w:fill="auto" w:val="clear"/>
            <w:tcMar>
              <w:left w:w="108" w:type="dxa"/>
            </w:tcMar>
          </w:tcPr>
          <w:p>
            <w:pPr>
              <w:pStyle w:val="Normal"/>
              <w:spacing w:lineRule="auto" w:line="240" w:before="0" w:after="0"/>
              <w:rPr>
                <w:rFonts w:cs="Calibri" w:cstheme="minorHAnsi"/>
                <w:b/>
                <w:b/>
                <w:bCs/>
                <w:sz w:val="24"/>
                <w:szCs w:val="24"/>
                <w:u w:val="single"/>
              </w:rPr>
            </w:pPr>
            <w:r>
              <w:rPr>
                <w:rFonts w:cs="Calibri" w:cstheme="minorHAnsi"/>
                <w:b/>
                <w:bCs/>
                <w:sz w:val="24"/>
                <w:szCs w:val="24"/>
                <w:u w:val="single"/>
              </w:rPr>
              <w:t>Action By</w:t>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Attendees</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Mike Jeays, David Cousineau, Kathy Cousineau, Carman Carroll, Shelley Smith, Wayne Brunton, Marion Reilly, Geraldine Dudding, Randy Dudding</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Absent</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Deb Shaw, Ashley Taylor, Christina Jessome, Taylor Spooner, Brenda Rowe, Eric Hammond, </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Called to Order</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6:20 p.m. </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No guests</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Happy Dollars</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Previous minutes – no discussion.</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Additions to the agenda – Kathy asked that a place be found to store all the Rotary stuff in their garage as they sold their house and will be moving out as of July 31.</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Thank you to Dave Cousineau for organizing the roadside cleanup and for everyone who came out.</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Secretary’s report – Nothing to report. </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Treasurers report – </w:t>
            </w:r>
          </w:p>
          <w:p>
            <w:pPr>
              <w:pStyle w:val="Normal"/>
              <w:spacing w:lineRule="auto" w:line="240" w:before="0" w:after="0"/>
              <w:rPr>
                <w:rFonts w:eastAsia="Times New Roman" w:cs="Calibri" w:cstheme="minorHAnsi"/>
                <w:sz w:val="24"/>
                <w:szCs w:val="24"/>
              </w:rPr>
            </w:pPr>
            <w:r>
              <w:rPr>
                <w:rFonts w:eastAsia="Times New Roman" w:cs="Calibri" w:cstheme="minorHAnsi"/>
                <w:sz w:val="24"/>
                <w:szCs w:val="24"/>
              </w:rPr>
            </w:r>
          </w:p>
          <w:p>
            <w:pPr>
              <w:pStyle w:val="Normal"/>
              <w:spacing w:lineRule="auto" w:line="240" w:before="0" w:after="0"/>
              <w:rPr>
                <w:rFonts w:eastAsia="Times New Roman" w:cs="Calibri" w:cstheme="minorHAnsi"/>
                <w:sz w:val="24"/>
                <w:szCs w:val="24"/>
              </w:rPr>
            </w:pPr>
            <w:r>
              <w:rPr>
                <w:rFonts w:eastAsia="Times New Roman" w:cs="Calibri" w:cstheme="minorHAnsi"/>
                <w:sz w:val="24"/>
                <w:szCs w:val="24"/>
              </w:rPr>
              <w:t xml:space="preserve">Cheques for the three Gordon MacNabb bursaries went out to the local high schools.  Each year we award a $500 bursary to a student in each of the three local high schools. </w:t>
            </w:r>
          </w:p>
          <w:p>
            <w:pPr>
              <w:pStyle w:val="Normal"/>
              <w:spacing w:lineRule="auto" w:line="240" w:before="0" w:after="0"/>
              <w:rPr>
                <w:rFonts w:eastAsia="Times New Roman" w:cs="Calibri" w:cstheme="minorHAnsi"/>
                <w:sz w:val="24"/>
                <w:szCs w:val="24"/>
              </w:rPr>
            </w:pPr>
            <w:r>
              <w:rPr>
                <w:rFonts w:eastAsia="Times New Roman" w:cs="Calibri" w:cstheme="minorHAnsi"/>
                <w:sz w:val="24"/>
                <w:szCs w:val="24"/>
              </w:rPr>
            </w:r>
          </w:p>
          <w:p>
            <w:pPr>
              <w:pStyle w:val="Normal"/>
              <w:spacing w:lineRule="auto" w:line="240" w:before="0" w:after="0"/>
              <w:rPr>
                <w:rFonts w:eastAsia="Times New Roman" w:cs="Calibri" w:cstheme="minorHAnsi"/>
                <w:sz w:val="24"/>
                <w:szCs w:val="24"/>
              </w:rPr>
            </w:pPr>
            <w:r>
              <w:rPr>
                <w:rFonts w:eastAsia="Times New Roman" w:cs="Calibri" w:cstheme="minorHAnsi"/>
                <w:sz w:val="24"/>
                <w:szCs w:val="24"/>
              </w:rPr>
              <w:t xml:space="preserve">A cheque for to Diabetes Canada went out in memory of David’s Mother.  Our club make a charitable donation whenever a close relative of a member passes away.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The Rotary fiscal year ends at the end of June so Dave will provide a financial report in July once the June bills have been paid.  In past years an accountant volunteered to review our books.  This year we will need to either have a Rotarian review the books or to ask an accountant to review them.</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Everyone to consider the last point.</w:t>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 xml:space="preserve">Membership committee report –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eastAsia="Times New Roman" w:cs="Calibri" w:cstheme="minorHAnsi"/>
                <w:sz w:val="24"/>
                <w:szCs w:val="24"/>
              </w:rPr>
            </w:pPr>
            <w:r>
              <w:rPr>
                <w:rFonts w:eastAsia="Times New Roman" w:cs="Calibri" w:cstheme="minorHAnsi"/>
                <w:sz w:val="24"/>
                <w:szCs w:val="24"/>
              </w:rPr>
              <w:t xml:space="preserve">We discussed ideas about Facebook Groups ‘Living in Carleton Place’ &amp; “Carleton Place Social Scene”.  </w:t>
            </w:r>
          </w:p>
          <w:p>
            <w:pPr>
              <w:pStyle w:val="Normal"/>
              <w:spacing w:lineRule="auto" w:line="240" w:before="0" w:after="0"/>
              <w:rPr>
                <w:rFonts w:eastAsia="Times New Roman" w:cs="Calibri" w:cstheme="minorHAnsi"/>
                <w:sz w:val="24"/>
                <w:szCs w:val="24"/>
              </w:rPr>
            </w:pPr>
            <w:r>
              <w:rPr>
                <w:rFonts w:eastAsia="Times New Roman" w:cs="Calibri" w:cstheme="minorHAnsi"/>
                <w:sz w:val="24"/>
                <w:szCs w:val="24"/>
              </w:rPr>
              <w:t xml:space="preserve">Discussion about getting a story in “Inside Ottawa Valley”.  Also the Humm newspaper – good because it gets to Almonte too. </w:t>
            </w:r>
          </w:p>
          <w:p>
            <w:pPr>
              <w:pStyle w:val="Normal"/>
              <w:spacing w:lineRule="auto" w:line="240" w:before="0" w:after="0"/>
              <w:rPr>
                <w:rFonts w:eastAsia="Times New Roman" w:cs="Calibri" w:cstheme="minorHAnsi"/>
                <w:sz w:val="24"/>
                <w:szCs w:val="24"/>
              </w:rPr>
            </w:pPr>
            <w:r>
              <w:rPr>
                <w:rFonts w:eastAsia="Times New Roman" w:cs="Calibri" w:cstheme="minorHAnsi"/>
                <w:sz w:val="24"/>
                <w:szCs w:val="24"/>
              </w:rPr>
            </w:r>
          </w:p>
          <w:p>
            <w:pPr>
              <w:pStyle w:val="Normal"/>
              <w:spacing w:lineRule="auto" w:line="240" w:before="0" w:after="0"/>
              <w:rPr>
                <w:rFonts w:cs="Calibri" w:cstheme="minorHAnsi"/>
                <w:sz w:val="24"/>
                <w:szCs w:val="24"/>
              </w:rPr>
            </w:pPr>
            <w:r>
              <w:rPr>
                <w:rFonts w:eastAsia="Times New Roman" w:cs="Calibri" w:cstheme="minorHAnsi"/>
                <w:sz w:val="24"/>
                <w:szCs w:val="24"/>
              </w:rPr>
              <w:t xml:space="preserve">We discussed the idea of re-introducing dues or maybe partial dues but settled on the idea of informing new members that dues were voluntary, and they can pay what they are able.   </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eastAsia="Times New Roman" w:cs="Calibri" w:cstheme="minorHAnsi"/>
                <w:sz w:val="24"/>
                <w:szCs w:val="24"/>
              </w:rPr>
              <w:t xml:space="preserve">Motion to move Charlene, Nicole and Ernie to the friends list – unanimous.  </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eastAsia="Times New Roman" w:cs="Calibri" w:cstheme="minorHAnsi"/>
                <w:b/>
                <w:bCs/>
                <w:sz w:val="24"/>
                <w:szCs w:val="24"/>
              </w:rPr>
              <w:t>Dave will give them a call</w:t>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eastAsia="Times New Roman" w:cs="Calibri" w:cstheme="minorHAnsi"/>
                <w:sz w:val="24"/>
                <w:szCs w:val="24"/>
              </w:rPr>
            </w:pPr>
            <w:r>
              <w:rPr>
                <w:rFonts w:eastAsia="Times New Roman" w:cs="Calibri" w:cstheme="minorHAnsi"/>
                <w:sz w:val="24"/>
                <w:szCs w:val="24"/>
              </w:rPr>
              <w:t>Social Media Committee report - Carleton Place Hospital’s proposed write up was approved: "The Rotary Club of Carleton Place and Mississippi Mills approached us, at the start of COVID, and asked how they could help.  When we told them about a need for portable ventilator, they responded. The Foundation is thrilled to receive funds towards the cost of this piece of equipment.  Thank you to the Rotary Club of Carleton Place and Mississippi Mills."</w:t>
            </w:r>
          </w:p>
          <w:p>
            <w:pPr>
              <w:pStyle w:val="Normal"/>
              <w:spacing w:lineRule="auto" w:line="240" w:before="0" w:after="0"/>
              <w:rPr>
                <w:rFonts w:cs="Calibri" w:cstheme="minorHAnsi"/>
                <w:sz w:val="24"/>
                <w:szCs w:val="24"/>
              </w:rPr>
            </w:pPr>
            <w:r>
              <w:rPr>
                <w:rFonts w:cs="Calibri" w:cstheme="minorHAnsi"/>
                <w:sz w:val="24"/>
                <w:szCs w:val="24"/>
              </w:rPr>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Wayne to inform the Bank the write up is approved and ask for points of contact at local media outlets (like Humm, and Inside Ottawa Valley), also to provide Shelley and Mike with the Hospital Foundation Director’s email.</w:t>
            </w:r>
          </w:p>
          <w:p>
            <w:pPr>
              <w:pStyle w:val="Normal"/>
              <w:spacing w:lineRule="auto" w:line="240" w:before="0" w:after="0"/>
              <w:rPr>
                <w:rFonts w:cs="Calibri" w:cstheme="minorHAnsi"/>
                <w:b/>
                <w:b/>
                <w:bCs/>
                <w:sz w:val="24"/>
                <w:szCs w:val="24"/>
              </w:rPr>
            </w:pPr>
            <w:r>
              <w:rPr>
                <w:rFonts w:cs="Calibri" w:cstheme="minorHAnsi"/>
                <w:b/>
                <w:bCs/>
                <w:sz w:val="24"/>
                <w:szCs w:val="24"/>
              </w:rPr>
            </w:r>
          </w:p>
        </w:tc>
      </w:tr>
      <w:tr>
        <w:trPr>
          <w:cantSplit w:val="true"/>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120" w:after="160"/>
              <w:rPr>
                <w:rFonts w:eastAsia="Times New Roman" w:cs="Calibri" w:cstheme="minorHAnsi"/>
                <w:sz w:val="24"/>
                <w:szCs w:val="24"/>
              </w:rPr>
            </w:pPr>
            <w:r>
              <w:rPr>
                <w:rFonts w:eastAsia="Times New Roman" w:cs="Calibri" w:cstheme="minorHAnsi"/>
                <w:sz w:val="24"/>
                <w:szCs w:val="24"/>
              </w:rPr>
              <w:t>Update from Women’s Fair committee (Shelley &amp; Marion) – 48 emails went out, 22 expressed interest of coming. Posted to Women’s Fair Facebook page and Rotary Facebook page.  That got 1 additional person interested (they were on the list of 48 emails).</w:t>
            </w:r>
          </w:p>
          <w:p>
            <w:pPr>
              <w:pStyle w:val="Normal"/>
              <w:spacing w:lineRule="auto" w:line="240" w:before="120" w:after="160"/>
              <w:rPr>
                <w:rFonts w:eastAsia="Times New Roman" w:cs="Calibri" w:cstheme="minorHAnsi"/>
                <w:sz w:val="24"/>
                <w:szCs w:val="24"/>
              </w:rPr>
            </w:pPr>
            <w:r>
              <w:rPr>
                <w:rFonts w:eastAsia="Times New Roman" w:cs="Calibri" w:cstheme="minorHAnsi"/>
                <w:sz w:val="24"/>
                <w:szCs w:val="24"/>
              </w:rPr>
              <w:t>Still has to be determined how many tables we can host.  We may need to decide on later if it is worthwhile to do given space restrictions.</w:t>
            </w:r>
          </w:p>
          <w:p>
            <w:pPr>
              <w:pStyle w:val="Normal"/>
              <w:spacing w:lineRule="auto" w:line="240" w:before="0" w:after="0"/>
              <w:rPr>
                <w:rFonts w:cs="Calibri" w:cstheme="minorHAnsi"/>
                <w:sz w:val="24"/>
                <w:szCs w:val="24"/>
              </w:rPr>
            </w:pPr>
            <w:r>
              <w:rPr>
                <w:rFonts w:eastAsia="Times New Roman" w:cs="Calibri" w:cstheme="minorHAnsi"/>
                <w:sz w:val="24"/>
                <w:szCs w:val="24"/>
              </w:rPr>
              <w:t>Brenda passed along an invoice for the Women’s Fair website hosted by ‘GoDaddy’ .  Shelley will pass along the invoice to Mike</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Shelley to pass along website invoice to Mike.</w:t>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Grant Updates:</w:t>
            </w:r>
          </w:p>
          <w:p>
            <w:pPr>
              <w:pStyle w:val="ListParagraph"/>
              <w:numPr>
                <w:ilvl w:val="1"/>
                <w:numId w:val="1"/>
              </w:numPr>
              <w:spacing w:lineRule="auto" w:line="240" w:before="120" w:after="160"/>
              <w:ind w:left="780" w:hanging="360"/>
              <w:rPr>
                <w:rFonts w:eastAsia="Times New Roman" w:cs="Calibri" w:cstheme="minorHAnsi"/>
                <w:sz w:val="24"/>
                <w:szCs w:val="24"/>
              </w:rPr>
            </w:pPr>
            <w:r>
              <w:rPr>
                <w:rFonts w:eastAsia="Times New Roman" w:cs="Calibri" w:cstheme="minorHAnsi"/>
                <w:sz w:val="24"/>
                <w:szCs w:val="24"/>
              </w:rPr>
              <w:t>COVID Grant application: $4,000 cheque passed to the Hospital Foundation</w:t>
            </w:r>
          </w:p>
          <w:p>
            <w:pPr>
              <w:pStyle w:val="ListParagraph"/>
              <w:numPr>
                <w:ilvl w:val="1"/>
                <w:numId w:val="1"/>
              </w:numPr>
              <w:spacing w:lineRule="auto" w:line="240" w:before="120" w:after="160"/>
              <w:ind w:left="780" w:hanging="360"/>
              <w:rPr>
                <w:rFonts w:eastAsia="Times New Roman" w:cs="Calibri" w:cstheme="minorHAnsi"/>
                <w:sz w:val="24"/>
                <w:szCs w:val="24"/>
              </w:rPr>
            </w:pPr>
            <w:r>
              <w:rPr>
                <w:rFonts w:eastAsia="Times New Roman" w:cs="Calibri" w:cstheme="minorHAnsi"/>
                <w:sz w:val="24"/>
                <w:szCs w:val="24"/>
              </w:rPr>
              <w:t>No news on the Food Bank grant.</w:t>
            </w:r>
          </w:p>
          <w:p>
            <w:pPr>
              <w:pStyle w:val="Normal"/>
              <w:spacing w:lineRule="auto" w:line="240" w:before="0" w:after="0"/>
              <w:rPr>
                <w:rFonts w:cs="Calibri" w:cstheme="minorHAnsi"/>
                <w:sz w:val="24"/>
                <w:szCs w:val="24"/>
              </w:rPr>
            </w:pPr>
            <w:r>
              <w:rPr>
                <w:rFonts w:cs="Calibri" w:cstheme="minorHAnsi"/>
                <w:sz w:val="24"/>
                <w:szCs w:val="24"/>
              </w:rPr>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eastAsia="Times New Roman" w:cs="Calibri" w:cstheme="minorHAnsi"/>
                <w:sz w:val="24"/>
                <w:szCs w:val="24"/>
              </w:rPr>
              <w:t>There is an outstanding request for electronic signatures for dissolution of our charitable corporation (Eric, Mike, Marion, Wayne)</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eastAsia="Times New Roman" w:cs="Calibri" w:cstheme="minorHAnsi"/>
                <w:b/>
                <w:bCs/>
                <w:sz w:val="24"/>
                <w:szCs w:val="24"/>
              </w:rPr>
              <w:t>Dave will follow up with Eric</w:t>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50-50 Tickets are available from Mike.  Everyone is encouraged to sell at least one envelope of 20 tickets.  The tickets are $5 each and the draw will be held during the Women’s fair (or on November 7</w:t>
            </w:r>
            <w:r>
              <w:rPr>
                <w:rFonts w:cs="Calibri" w:cstheme="minorHAnsi"/>
                <w:sz w:val="24"/>
                <w:szCs w:val="24"/>
                <w:vertAlign w:val="superscript"/>
              </w:rPr>
              <w:t>th</w:t>
            </w:r>
            <w:r>
              <w:rPr>
                <w:rFonts w:cs="Calibri" w:cstheme="minorHAnsi"/>
                <w:sz w:val="24"/>
                <w:szCs w:val="24"/>
              </w:rPr>
              <w:t xml:space="preserve"> regardless of whether we hold the fair or not)</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Everyone</w:t>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Agenda Item</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Need to find a place to store Rotary stuff before July 31</w:t>
            </w:r>
            <w:r>
              <w:rPr>
                <w:rFonts w:cs="Calibri" w:cstheme="minorHAnsi"/>
                <w:sz w:val="24"/>
                <w:szCs w:val="24"/>
                <w:vertAlign w:val="superscript"/>
              </w:rPr>
              <w:t>st</w:t>
            </w:r>
            <w:r>
              <w:rPr>
                <w:rFonts w:cs="Calibri" w:cstheme="minorHAnsi"/>
                <w:sz w:val="24"/>
                <w:szCs w:val="24"/>
              </w:rPr>
              <w:t xml:space="preserve"> – everyone to think about this.</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Everyone.</w:t>
            </w:r>
          </w:p>
        </w:tc>
      </w:tr>
      <w:tr>
        <w:trPr/>
        <w:tc>
          <w:tcPr>
            <w:tcW w:w="1692"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t>Adjourned</w:t>
            </w:r>
          </w:p>
        </w:tc>
        <w:tc>
          <w:tcPr>
            <w:tcW w:w="6420" w:type="dxa"/>
            <w:tcBorders/>
            <w:shd w:fill="auto" w:val="clear"/>
            <w:tcMar>
              <w:left w:w="108" w:type="dxa"/>
            </w:tcMar>
          </w:tcPr>
          <w:p>
            <w:pPr>
              <w:pStyle w:val="Normal"/>
              <w:spacing w:lineRule="auto" w:line="240" w:before="0" w:after="0"/>
              <w:rPr>
                <w:rFonts w:cs="Calibri" w:cstheme="minorHAnsi"/>
                <w:sz w:val="24"/>
                <w:szCs w:val="24"/>
              </w:rPr>
            </w:pPr>
            <w:r>
              <w:rPr>
                <w:rFonts w:cs="Calibri" w:cstheme="minorHAnsi"/>
                <w:sz w:val="24"/>
                <w:szCs w:val="24"/>
              </w:rPr>
              <w:t>7:25 pm</w:t>
            </w:r>
          </w:p>
        </w:tc>
        <w:tc>
          <w:tcPr>
            <w:tcW w:w="1963" w:type="dxa"/>
            <w:tcBorders/>
            <w:shd w:fill="auto" w:val="clear"/>
            <w:tcMar>
              <w:left w:w="108" w:type="dxa"/>
            </w:tcMar>
          </w:tcPr>
          <w:p>
            <w:pPr>
              <w:pStyle w:val="Normal"/>
              <w:spacing w:lineRule="auto" w:line="240" w:before="0" w:after="0"/>
              <w:rPr>
                <w:rFonts w:cs="Calibri" w:cstheme="minorHAnsi"/>
                <w:b/>
                <w:b/>
                <w:bCs/>
                <w:sz w:val="24"/>
                <w:szCs w:val="24"/>
              </w:rPr>
            </w:pPr>
            <w:r>
              <w:rPr>
                <w:rFonts w:cs="Calibri" w:cstheme="minorHAnsi"/>
                <w:b/>
                <w:bCs/>
                <w:sz w:val="24"/>
                <w:szCs w:val="24"/>
              </w:rPr>
            </w:r>
          </w:p>
        </w:tc>
      </w:tr>
      <w:tr>
        <w:trPr/>
        <w:tc>
          <w:tcPr>
            <w:tcW w:w="10075" w:type="dxa"/>
            <w:gridSpan w:val="3"/>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0075" w:type="dxa"/>
            <w:gridSpan w:val="3"/>
            <w:tcBorders/>
            <w:shd w:fill="auto" w:val="clear"/>
            <w:tcMar>
              <w:left w:w="108" w:type="dxa"/>
            </w:tcMar>
          </w:tcPr>
          <w:p>
            <w:pPr>
              <w:pStyle w:val="Normal"/>
              <w:spacing w:lineRule="auto" w:line="240" w:before="0" w:after="0"/>
              <w:rPr>
                <w:b/>
                <w:b/>
                <w:bCs/>
                <w:sz w:val="24"/>
                <w:szCs w:val="24"/>
              </w:rPr>
            </w:pPr>
            <w:r>
              <w:rPr>
                <w:b/>
                <w:bCs/>
                <w:sz w:val="24"/>
                <w:szCs w:val="24"/>
              </w:rPr>
            </w:r>
          </w:p>
        </w:tc>
      </w:tr>
      <w:tr>
        <w:trPr/>
        <w:tc>
          <w:tcPr>
            <w:tcW w:w="10075" w:type="dxa"/>
            <w:gridSpan w:val="3"/>
            <w:tcBorders/>
            <w:shd w:fill="auto" w:val="clear"/>
            <w:tcMar>
              <w:left w:w="108" w:type="dxa"/>
            </w:tcMar>
          </w:tcPr>
          <w:p>
            <w:pPr>
              <w:pStyle w:val="Normal"/>
              <w:spacing w:lineRule="auto" w:line="240" w:before="0" w:after="0"/>
              <w:rPr>
                <w:b/>
                <w:b/>
                <w:bCs/>
                <w:sz w:val="24"/>
                <w:szCs w:val="24"/>
              </w:rPr>
            </w:pPr>
            <w:r>
              <w:rPr>
                <w:b/>
                <w:bCs/>
                <w:sz w:val="24"/>
                <w:szCs w:val="24"/>
              </w:rPr>
            </w:r>
          </w:p>
        </w:tc>
      </w:tr>
    </w:tbl>
    <w:p>
      <w:pPr>
        <w:pStyle w:val="Normal"/>
        <w:widowControl/>
        <w:bidi w:val="0"/>
        <w:spacing w:lineRule="auto" w:line="259" w:before="0" w:after="160"/>
        <w:jc w:val="left"/>
        <w:rPr/>
      </w:pPr>
      <w:r>
        <w:rPr/>
      </w:r>
    </w:p>
    <w:sectPr>
      <w:headerReference w:type="default" r:id="rId2"/>
      <w:footerReference w:type="default" r:id="rId3"/>
      <w:type w:val="nextPage"/>
      <w:pgSz w:w="12240" w:h="15840"/>
      <w:pgMar w:left="1080" w:right="108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1381384"/>
    </w:sdtPr>
    <w:sdtContent>
      <w:p>
        <w:pPr>
          <w:pStyle w:val="Footer"/>
          <w:jc w:val="right"/>
          <w:rPr/>
        </w:pPr>
        <w:r>
          <w:rPr/>
          <w:t xml:space="preserve">Page | </w:t>
        </w:r>
        <w:r>
          <w:rPr/>
          <w:fldChar w:fldCharType="begin"/>
        </w:r>
        <w:r>
          <w:instrText> PAGE </w:instrText>
        </w:r>
        <w:r>
          <w:fldChar w:fldCharType="separate"/>
        </w:r>
        <w:r>
          <w:t>3</w:t>
        </w:r>
        <w:r>
          <w:fldChar w:fldCharType="end"/>
        </w:r>
        <w:r>
          <w:rPr/>
          <w:t xml:space="preserve"> /3</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8745" distR="118745" simplePos="0" locked="0" layoutInCell="1" allowOverlap="1" relativeHeight="4" wp14:anchorId="520C484E">
              <wp:simplePos x="0" y="0"/>
              <wp:positionH relativeFrom="margin">
                <wp:posOffset>762000</wp:posOffset>
              </wp:positionH>
              <wp:positionV relativeFrom="page">
                <wp:posOffset>533400</wp:posOffset>
              </wp:positionV>
              <wp:extent cx="5106035" cy="629285"/>
              <wp:effectExtent l="0" t="0" r="0" b="0"/>
              <wp:wrapSquare wrapText="bothSides"/>
              <wp:docPr id="1" name="Rectangle 197"/>
              <a:graphic xmlns:a="http://schemas.openxmlformats.org/drawingml/2006/main">
                <a:graphicData uri="http://schemas.microsoft.com/office/word/2010/wordprocessingShape">
                  <wps:wsp>
                    <wps:cNvSpPr/>
                    <wps:spPr>
                      <a:xfrm>
                        <a:off x="0" y="0"/>
                        <a:ext cx="5105520" cy="628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pPr>
                            <w:pStyle w:val="Header"/>
                            <w:jc w:val="center"/>
                            <w:rPr>
                              <w:caps/>
                              <w:color w:val="FFFFFF" w:themeColor="background1"/>
                              <w:sz w:val="32"/>
                              <w:szCs w:val="32"/>
                            </w:rPr>
                          </w:pPr>
                          <w:sdt>
                            <w:sdtPr>
                              <w:alias w:val="Title"/>
                            </w:sdtPr>
                            <w:sdtContent>
                              <w:r>
                                <w:rPr>
                                  <w:caps/>
                                  <w:color w:val="FFFFFF" w:themeColor="background1"/>
                                  <w:sz w:val="32"/>
                                  <w:szCs w:val="32"/>
                                </w:rPr>
                                <w:t>Rotary Club of Carleton Place and Mississippi Mills</w:t>
                              </w:r>
                            </w:sdtContent>
                          </w:sdt>
                        </w:p>
                      </w:txbxContent>
                    </wps:txbx>
                    <wps:bodyPr anchor="ctr">
                      <a:prstTxWarp prst="textNoShape"/>
                      <a:noAutofit/>
                    </wps:bodyPr>
                  </wps:wsp>
                </a:graphicData>
              </a:graphic>
            </wp:anchor>
          </w:drawing>
        </mc:Choice>
        <mc:Fallback>
          <w:pict>
            <v:rect id="shape_0" ID="Rectangle 197" fillcolor="#4472c4" stroked="f" style="position:absolute;margin-left:60pt;margin-top:42pt;width:401.95pt;height:49.45pt;mso-position-horizontal-relative:margin;mso-position-vertical-relative:page" wp14:anchorId="520C484E">
              <w10:wrap type="square"/>
              <v:fill o:detectmouseclick="t" type="solid" color2="#bb8d3b"/>
              <v:stroke color="#3465a4" weight="12600" joinstyle="miter" endcap="flat"/>
              <v:textbox>
                <w:txbxContent>
                  <w:p>
                    <w:pPr>
                      <w:pStyle w:val="Header"/>
                      <w:jc w:val="center"/>
                      <w:rPr>
                        <w:caps/>
                        <w:color w:val="FFFFFF" w:themeColor="background1"/>
                        <w:sz w:val="32"/>
                        <w:szCs w:val="32"/>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caps/>
                            <w:color w:val="FFFFFF" w:themeColor="background1"/>
                            <w:sz w:val="32"/>
                            <w:szCs w:val="32"/>
                          </w:rPr>
                          <w:t>Rotary Club of Carleton Place and Mississippi Mills</w:t>
                        </w:r>
                      </w:sdtContent>
                    </w:sdt>
                  </w:p>
                </w:txbxContent>
              </v:textbox>
            </v:rect>
          </w:pict>
        </mc:Fallback>
      </mc:AlternateContent>
      <w:drawing>
        <wp:anchor behindDoc="1" distT="0" distB="2540" distL="0" distR="114300" simplePos="0" locked="0" layoutInCell="1" allowOverlap="1" relativeHeight="7">
          <wp:simplePos x="0" y="0"/>
          <wp:positionH relativeFrom="margin">
            <wp:align>left</wp:align>
          </wp:positionH>
          <wp:positionV relativeFrom="paragraph">
            <wp:posOffset>38100</wp:posOffset>
          </wp:positionV>
          <wp:extent cx="647700" cy="645160"/>
          <wp:effectExtent l="0" t="0" r="0" b="0"/>
          <wp:wrapSquare wrapText="bothSides"/>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1"/>
                  <a:stretch>
                    <a:fillRect/>
                  </a:stretch>
                </pic:blipFill>
                <pic:spPr bwMode="auto">
                  <a:xfrm>
                    <a:off x="0" y="0"/>
                    <a:ext cx="647700" cy="6451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rPr>
        <w:sz w:val="24"/>
        <w:b w:val="false"/>
        <w:bCs w:val="false"/>
      </w:rPr>
    </w:lvl>
    <w:lvl w:ilvl="2">
      <w:start w:val="1"/>
      <w:numFmt w:val="lowerRoman"/>
      <w:lvlText w:val="%3."/>
      <w:lvlJc w:val="right"/>
      <w:pPr>
        <w:ind w:left="2160" w:hanging="180"/>
      </w:pPr>
    </w:lvl>
    <w:lvl w:ilvl="3">
      <w:start w:val="1"/>
      <w:numFmt w:val="bullet"/>
      <w:lvlText w:val="-"/>
      <w:lvlJc w:val="left"/>
      <w:pPr>
        <w:ind w:left="2880" w:hanging="360"/>
      </w:pPr>
      <w:rPr>
        <w:rFonts w:ascii="Georgia" w:hAnsi="Georgia" w:cs="Georgia" w:hint="default"/>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35066"/>
    <w:rPr/>
  </w:style>
  <w:style w:type="character" w:styleId="FooterChar" w:customStyle="1">
    <w:name w:val="Footer Char"/>
    <w:basedOn w:val="DefaultParagraphFont"/>
    <w:link w:val="Footer"/>
    <w:uiPriority w:val="99"/>
    <w:qFormat/>
    <w:rsid w:val="00135066"/>
    <w:rPr/>
  </w:style>
  <w:style w:type="character" w:styleId="InternetLink">
    <w:name w:val="Internet Link"/>
    <w:basedOn w:val="DefaultParagraphFont"/>
    <w:uiPriority w:val="99"/>
    <w:unhideWhenUsed/>
    <w:rsid w:val="00c361b8"/>
    <w:rPr>
      <w:color w:val="0563C1" w:themeColor="hyperlink"/>
      <w:u w:val="single"/>
    </w:rPr>
  </w:style>
  <w:style w:type="character" w:styleId="UnresolvedMention">
    <w:name w:val="Unresolved Mention"/>
    <w:basedOn w:val="DefaultParagraphFont"/>
    <w:uiPriority w:val="99"/>
    <w:semiHidden/>
    <w:unhideWhenUsed/>
    <w:qFormat/>
    <w:rsid w:val="00c361b8"/>
    <w:rPr>
      <w:color w:val="605E5C"/>
      <w:shd w:fill="E1DFDD" w:val="clear"/>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sz w:val="24"/>
    </w:rPr>
  </w:style>
  <w:style w:type="character" w:styleId="ListLabel11">
    <w:name w:val="ListLabel 11"/>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135066"/>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35066"/>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c361b8"/>
    <w:pPr>
      <w:spacing w:before="0" w:after="16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350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D7E69198F6B4E8F1EDCA4BDFDCB05" ma:contentTypeVersion="10" ma:contentTypeDescription="Create a new document." ma:contentTypeScope="" ma:versionID="6876198d16cd3f6a42144f9b1097f859">
  <xsd:schema xmlns:xsd="http://www.w3.org/2001/XMLSchema" xmlns:xs="http://www.w3.org/2001/XMLSchema" xmlns:p="http://schemas.microsoft.com/office/2006/metadata/properties" xmlns:ns3="a77d3495-384d-4263-88e3-3edf8d74ff38" targetNamespace="http://schemas.microsoft.com/office/2006/metadata/properties" ma:root="true" ma:fieldsID="9f28b5477232af40af1cc877b82c6b0b" ns3:_="">
    <xsd:import namespace="a77d3495-384d-4263-88e3-3edf8d74ff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3495-384d-4263-88e3-3edf8d74f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C07A3-E8D6-432E-85EC-A5022D9077E5}">
  <ds:schemaRefs>
    <ds:schemaRef ds:uri="http://purl.org/dc/elements/1.1/"/>
    <ds:schemaRef ds:uri="http://schemas.openxmlformats.org/package/2006/metadata/core-properties"/>
    <ds:schemaRef ds:uri="a77d3495-384d-4263-88e3-3edf8d74ff38"/>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7E6C11F-2885-4B15-896D-5DBF3FAE3F2F}">
  <ds:schemaRefs>
    <ds:schemaRef ds:uri="http://schemas.microsoft.com/sharepoint/v3/contenttype/forms"/>
  </ds:schemaRefs>
</ds:datastoreItem>
</file>

<file path=customXml/itemProps3.xml><?xml version="1.0" encoding="utf-8"?>
<ds:datastoreItem xmlns:ds="http://schemas.openxmlformats.org/officeDocument/2006/customXml" ds:itemID="{41ECA9EC-FD68-486C-9A9E-7BB1F5AFF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3495-384d-4263-88e3-3edf8d74f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3</Pages>
  <Words>691</Words>
  <Characters>3363</Characters>
  <CharactersWithSpaces>4027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2020-06-17T00:38:00Z</dcterms:created>
  <dc:creator>WR Brunton</dc:creator>
  <dc:description/>
  <dc:language>en-CA</dc:language>
  <cp:lastModifiedBy>WR Brunton</cp:lastModifiedBy>
  <dcterms:modified xsi:type="dcterms:W3CDTF">2020-06-17T00:38:00Z</dcterms:modified>
  <cp:revision>2</cp:revision>
  <dc:subject/>
  <dc:title>Rotary Club of Carleton Place and Mississippi Mills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0x01010075FD7E69198F6B4E8F1EDCA4BDFDCB05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